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1-комн. кв.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Санкт-Петербург, Кронштадт, район Кронштадтский, дор. Цитадельская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12 902 320 ₽</w:t>
                  </w:r>
                  <w:r>
                    <w:t xml:space="preserve"> возможна ипотека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288 320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4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новостройка, монолитный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продажи: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свободная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Общая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44.75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комнат: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Жилая 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17.32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 кухни: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16.66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Санузел: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Балкон: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Лифт: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Вид из окна: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двор и улица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firstRow="1" w:lastRow="0" w:firstColumn="1" w:lastColumn="0" w:noHBand="0" w:noVBand="1"/>
                  </w:tblPr>
                  <w:tblGrid>
                    <w:gridCol w:w="300"/>
                    <w:gridCol w:w="2841"/>
                  </w:tblGrid>
                  <w:tr>
                    <w:tc>
                      <w:tcPr>
                        <w:tcW w:type="dxa" w:w="3141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В квартире:</w:t>
                        </w:r>
                      </w:p>
                    </w:tc>
                  </w:tr>
                  <!-- begin Телефон-->
                  <w:tr>
                    <w:tc>
                      <w:tcPr>
                        <w:tcW w:type="dxa" w:w="300"/>
                        <w:vAlign w:val="center"/>
                        <w:tcMar>
                          <w:left w:type="dxa" w:w="0"/>
                          <w:right w:type="dxa" w:w="0"/>
                          <w:top w:type="dxa" w:w="0"/>
                        </w:tcMar>
                      </w:tcPr>
                      <w:p>
                        <w:pPr>
                          <w:jc w:val="center"/>
                          <w:pStyle w:val="StuffItems"/>
                        </w:pPr>
                        <w:r>
                          <w:rPr/>
                          <w:drawing>
                            <wp:inline distT="0" distB="0" distL="0" distR="0">
                              <wp:extent cx="110414" cy="110414"/>
                              <wp:effectExtent l="0" t="0" r="0" b="0"/>
                              <wp:docPr id="1" name="n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no"/>
                                      <pic:cNvPicPr/>
                                    </pic:nvPicPr>
                                    <pic:blipFill>
                                      <a:blip r:embed="no">
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0414" cy="11041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41:" w:type="dxa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</w:t>
                        </w:r>
                      </w:p>
                    </w:tc>
                  </w:tr>
                  <!-- end Телефон -->
                </w:tbl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21 октября, 13:06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Алькор</w:t>
      </w:r>
    </w:p>
    <!-- offer description -->
    <w:p>
      <w:pPr>
        <w:pStyle w:val="Normal"/>
        <w:spacing w:before="0" w:after="0" w:beforeLines="0" w:afterLines="0"/>
      </w:pPr>
      <w:r>
        <w:t>Стоимoсть квapтиpы укaзана со cкидкой 20%. Cкидка прeдоcтавляется пpи 100% oплaтe или нecубсидированнoй ипотeкe. Вoзмoжнo пoвышeние cкидки дo 24%. Пoдрoбнoсти уточняйте в oтделe пpодаж.
Предлaгaeтся квартира плoщaдью 44.75 кв.м в жилом кoмплексе "Kронфoрт. Центpальный" в Санкт-Петeрбурге (Кронштадт). Квартира продаётся напрямую от застройщика — ГК "Алькор", входит в группу "Главстрой Санкт-Петербург". Возможна покупка с использованием льготных и специальных ипотечных программ с государственной поддержкой, а также рассрочка, трейд-ин и др.
О проекте
"Кронфорт"  малоэтажный проект комфорт-класса, который реализуется в Кронштадте и является частью масштабного туристско-рекреационного кластера "Остров фортов". Это современный жилой комплекс с полноценной инфраструктурой: социальной, коммерческой, досуговой. 
Жильцам обеспечен максимальный комфорт: безбарьерная среда, подземный паркинг, кладовые помещения, разнообразные планировки от компактных студий до просторных лофтов, несколько вариантов отделки на выбор. Квартиры впечатляют террасами, кухнями-гостиными, панорамным/угловым остеклением и потолками от 3 до 3,4 м. 
Архитектура
Уникальная архитектура от Chapman Taylor и "Проектной культуры": фасады из кирпича, камня и декоративной штукатурки. 
Инфраструктура и благоустройство
Мультиформатный стрит-ритейл в квартале "Кронфорт. Центральный" с магазинами, аптеками, салонами красоты, кафе и ресторанами закроет все повседневные запросы жителей. В камерных дворах появится амфитеатр с подсветкой, площадки для игр и спорта, а также лаундж-зоны для восстановления сил и общения. 
Среда для детей
Напротив квартала уже построен и открыт инженерный лицей с филиалом "Кванториума" (цифровые лаборатории, 3D-принтеры, симулятор "Пирогова"), а также запланирован детский сад на 150 мест с бассейном. Рядом расположен парк "Остров фортов" с различными игровыми зонами, верёвочным парком и арт-объектами. 
Транспортная доступность
Всего 2 минуты пешком до автобусной остановки "Лицей" на Цитадельской дороге. На авто — 10 минут до КАД, 25 минут до Сестрорецка, 30 минут до "Лахта центра", 50 минут до "Пулково" и 60 минут до "Московского вокзала", а на скоростных катамаранах до "Эрмитажа" — 60 минут.  
Скидка 1% при обращении через чат!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+7 968 245-33-75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15865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5865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3202940" cy="3202940"/>
                  <wp:effectExtent l="0" t="0" r="0" b="0"/>
                  <wp:docPr id="1" name="rI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5"/>
                          <pic:cNvPicPr/>
                        </pic:nvPicPr>
                        <pic:blipFill>
                          <a:blip r:embed="rId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2940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6"/>
                          <pic:cNvPicPr/>
                        </pic:nvPicPr>
                        <pic:blipFill>
                          <a:blip r:embed="rId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7"/>
                          <pic:cNvPicPr/>
                        </pic:nvPicPr>
                        <pic:blipFill>
                          <a:blip r:embed="rId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8"/>
                          <pic:cNvPicPr/>
                        </pic:nvPicPr>
                        <pic:blipFill>
                          <a:blip r:embed="rId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9"/>
                          <pic:cNvPicPr/>
                        </pic:nvPicPr>
                        <pic:blipFill>
                          <a:blip r:embed="rId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0"/>
                          <pic:cNvPicPr/>
                        </pic:nvPicPr>
                        <pic:blipFill>
                          <a:blip r:embed="rId1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1"/>
                          <pic:cNvPicPr/>
                        </pic:nvPicPr>
                        <pic:blipFill>
                          <a:blip r:embed="rId1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2"/>
                          <pic:cNvPicPr/>
                        </pic:nvPicPr>
                        <pic:blipFill>
                          <a:blip r:embed="rId1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3"/>
                          <pic:cNvPicPr/>
                        </pic:nvPicPr>
                        <pic:blipFill>
                          <a:blip r:embed="rId13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4"/>
                          <pic:cNvPicPr/>
                        </pic:nvPicPr>
                        <pic:blipFill>
                          <a:blip r:embed="rId1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5"/>
                          <pic:cNvPicPr/>
                        </pic:nvPicPr>
                        <pic:blipFill>
                          <a:blip r:embed="rId15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280511"/>
                  <wp:effectExtent l="0" t="0" r="0" b="0"/>
                  <wp:docPr id="1" name="rId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6"/>
                          <pic:cNvPicPr/>
                        </pic:nvPicPr>
                        <pic:blipFill>
                          <a:blip r:embed="rId16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280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7"/>
                          <pic:cNvPicPr/>
                        </pic:nvPicPr>
                        <pic:blipFill>
                          <a:blip r:embed="rId17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8"/>
                          <pic:cNvPicPr/>
                        </pic:nvPicPr>
                        <pic:blipFill>
                          <a:blip r:embed="rId18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19"/>
                          <pic:cNvPicPr/>
                        </pic:nvPicPr>
                        <pic:blipFill>
                          <a:blip r:embed="rId19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0"/>
                          <pic:cNvPicPr/>
                        </pic:nvPicPr>
                        <pic:blipFill>
                          <a:blip r:embed="rId20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1"/>
                          <pic:cNvPicPr/>
                        </pic:nvPicPr>
                        <pic:blipFill>
                          <a:blip r:embed="rId21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922520" cy="2768917"/>
                  <wp:effectExtent l="0" t="0" r="0" b="0"/>
                  <wp:docPr id="1" name="rId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22"/>
                          <pic:cNvPicPr/>
                        </pic:nvPicPr>
                        <pic:blipFill>
                          <a:blip r:embed="rId22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520" cy="2768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    <Relationship Id="rId5" Type="http://schemas.openxmlformats.org/officeDocument/2006/relationships/image" Target="media/image1.jpeg"/>
    <Relationship Id="rId6" Type="http://schemas.openxmlformats.org/officeDocument/2006/relationships/image" Target="media/image2.jpeg"/>
    <Relationship Id="rId7" Type="http://schemas.openxmlformats.org/officeDocument/2006/relationships/image" Target="media/image3.jpeg"/>
    <Relationship Id="rId8" Type="http://schemas.openxmlformats.org/officeDocument/2006/relationships/image" Target="media/image4.jpeg"/>
    <Relationship Id="rId9" Type="http://schemas.openxmlformats.org/officeDocument/2006/relationships/image" Target="media/image5.jpeg"/>
    <Relationship Id="rId10" Type="http://schemas.openxmlformats.org/officeDocument/2006/relationships/image" Target="media/image6.jpeg"/>
    <Relationship Id="rId11" Type="http://schemas.openxmlformats.org/officeDocument/2006/relationships/image" Target="media/image7.jpeg"/>
    <Relationship Id="rId12" Type="http://schemas.openxmlformats.org/officeDocument/2006/relationships/image" Target="media/image8.jpeg"/>
    <Relationship Id="rId13" Type="http://schemas.openxmlformats.org/officeDocument/2006/relationships/image" Target="media/image9.jpeg"/>
    <Relationship Id="rId14" Type="http://schemas.openxmlformats.org/officeDocument/2006/relationships/image" Target="media/image11.jpeg"/>
    <Relationship Id="rId15" Type="http://schemas.openxmlformats.org/officeDocument/2006/relationships/image" Target="media/image12.jpeg"/>
    <Relationship Id="rId16" Type="http://schemas.openxmlformats.org/officeDocument/2006/relationships/image" Target="media/image13.jpeg"/>
    <Relationship Id="rId17" Type="http://schemas.openxmlformats.org/officeDocument/2006/relationships/image" Target="media/image14.jpeg"/>
    <Relationship Id="rId18" Type="http://schemas.openxmlformats.org/officeDocument/2006/relationships/image" Target="media/image15.jpeg"/>
    <Relationship Id="rId19" Type="http://schemas.openxmlformats.org/officeDocument/2006/relationships/image" Target="media/image16.jpeg"/>
    <Relationship Id="rId20" Type="http://schemas.openxmlformats.org/officeDocument/2006/relationships/image" Target="media/image17.jpeg"/>
    <Relationship Id="rId21" Type="http://schemas.openxmlformats.org/officeDocument/2006/relationships/image" Target="media/image18.jpeg"/>
    <Relationship Id="rId22" Type="http://schemas.openxmlformats.org/officeDocument/2006/relationships/image" Target="media/image19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